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E6" w:rsidRPr="005B16E6" w:rsidRDefault="00CB7393" w:rsidP="005B16E6">
      <w:pPr>
        <w:shd w:val="clear" w:color="auto" w:fill="FFFFFF"/>
        <w:spacing w:before="100" w:beforeAutospacing="1" w:after="150" w:line="270" w:lineRule="atLeast"/>
        <w:jc w:val="center"/>
        <w:outlineLvl w:val="0"/>
        <w:rPr>
          <w:rFonts w:ascii="Tahoma" w:eastAsia="Times New Roman" w:hAnsi="Tahoma" w:cs="Tahoma"/>
          <w:b/>
          <w:bCs/>
          <w:color w:val="7E2020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7E2020"/>
          <w:kern w:val="36"/>
          <w:sz w:val="27"/>
          <w:szCs w:val="27"/>
          <w:lang w:eastAsia="ru-RU"/>
        </w:rPr>
        <w:t>СМ</w:t>
      </w:r>
      <w:r w:rsidR="005B16E6" w:rsidRPr="005B16E6">
        <w:rPr>
          <w:rFonts w:ascii="Tahoma" w:eastAsia="Times New Roman" w:hAnsi="Tahoma" w:cs="Tahoma"/>
          <w:b/>
          <w:bCs/>
          <w:color w:val="7E2020"/>
          <w:kern w:val="36"/>
          <w:sz w:val="27"/>
          <w:szCs w:val="27"/>
          <w:lang w:eastAsia="ru-RU"/>
        </w:rPr>
        <w:t>ЕСИ БЕТОННЫЕ</w:t>
      </w:r>
      <w:r w:rsidR="005B16E6" w:rsidRPr="005B16E6">
        <w:rPr>
          <w:rFonts w:ascii="Tahoma" w:eastAsia="Times New Roman" w:hAnsi="Tahoma" w:cs="Tahoma"/>
          <w:b/>
          <w:bCs/>
          <w:color w:val="7E2020"/>
          <w:kern w:val="36"/>
          <w:sz w:val="27"/>
          <w:szCs w:val="27"/>
          <w:lang w:eastAsia="ru-RU"/>
        </w:rPr>
        <w:br/>
        <w:t>ТЕХНИЧЕСКИЕ УСЛОВИЯ</w:t>
      </w:r>
      <w:r w:rsidR="005B16E6" w:rsidRPr="005B16E6">
        <w:rPr>
          <w:rFonts w:ascii="Tahoma" w:eastAsia="Times New Roman" w:hAnsi="Tahoma" w:cs="Tahoma"/>
          <w:b/>
          <w:bCs/>
          <w:color w:val="7E2020"/>
          <w:kern w:val="36"/>
          <w:sz w:val="27"/>
          <w:szCs w:val="27"/>
          <w:lang w:eastAsia="ru-RU"/>
        </w:rPr>
        <w:br/>
        <w:t>ГОСТ 7473-94</w:t>
      </w:r>
    </w:p>
    <w:p w:rsidR="005B16E6" w:rsidRPr="005B16E6" w:rsidRDefault="005B16E6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Дата введения 1996—01—01</w:t>
      </w: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ОБЛАСТЬ ПРИМЕНЕНИЯ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Настоящий стандарт распространяется на бетонные смеси конструкционных тяжелых и легких бетонов плотной,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поризованной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крупнопористой структуры на цементных вяжущих, плотных и пористых крупных и мелких заполнителях, отпускаемые потребителю для возведения монолитных и сборно-монолитных конструкций и сооружений или используемые на предприятии для изготовления сборных бетонных и железобетонных конструкций и изделий.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Стандарт не распространяется на бетонные смеси специальных бетонов и конструкционных бетонов на основе известковых, шлаковых, гипсовых и специальных вяжущих и бетонов на специальных заполнителях.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Требования, изложенные в разделах 3—7 настоящего стандарта, являются обязательными.</w:t>
      </w: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 НОРМАТИВНЫЕ ССЫЛКИ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Ссылки на используемые стандарты приведены в приложении А.</w:t>
      </w: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 КЛАССИФИКАЦИЯ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По степени готовности бетонные смеси подразделяют на: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бетонные смеси готовые к употреблению (БСГ);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бетонные смеси сухи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е(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БСС).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3.2. В зависимости от показателя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бетонные смеси подразделит на три группы: сверхжесткие (СЖ), жесткие (Ж) и подвижные (П). Группы подразделяют на марки по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3.3. Условное обозначение бетонной смеси при заказе должно состоять из сокращенного обозначения бетонной смеси с указанием степени готовности, типа бетона и его класса по прочности, марки по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морозостойкости, водонепроницаемости, средней плотности (для легкого бетона) и обозначения настоящего стандарта.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Пример условного обозначения готовой к употреблению бетонной смеси тяжелого бетона класса по прочности на сжатие В25, марок по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морозостойкости F200 и водонепроницаемости W4: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БСГ В25 П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F200 W4 ГОСТ 7473-94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 же, для сухой бетонной смеси тяжелого бетона: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БСС А25 П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F200 W4 ГОСТ 7473-94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То же, бетонной смеси, готовой к употреблению, легкого бетона класса по прочности В12,5, марок по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морозостойкости F200, водонепроницаемости W2 и средней плотности D900: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БСГ В12,5 П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F200 W2 D900 ГОСТ 7473-94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 же, для сухой бетонной смеси легкого бетона: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БСС В12,5 П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F200 W2 D900 ГОСТ 7473-94</w:t>
      </w: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 ТЕХНИЧЕСКИЕ ТРЕБОВАНИЯ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Бетонные смеси приготавливают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Бетонные смеси должны обеспечивать получение бетонов с заданными показателями по прочности, средней плотности, морозостойкости и водонепроницаемости (при необходимости) и другими нормируемыми показателями качества бетона.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Бетонные смеси характеризуют следующими показателями качества: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—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средняя плотность;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объем вовлеченного воздуха;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—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расслаиваемость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(при необходимости);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—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сохраняемость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свойств во времени: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расслаиваемость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объем вовлеченного воздуха (при необходимости).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 Изготовитель приготавливает бетонную смесь в соответствии с характеристиками бетонной смеси и бетона, а также условиями транспортирования, указанными заказчиком в договоре.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4.5. В зависимости от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бетонные смеси подразделяют в соответствии с таблицей 1.</w:t>
      </w:r>
    </w:p>
    <w:p w:rsidR="005B16E6" w:rsidRPr="005B16E6" w:rsidRDefault="005B16E6" w:rsidP="005B16E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1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299"/>
        <w:gridCol w:w="2299"/>
        <w:gridCol w:w="2299"/>
      </w:tblGrid>
      <w:tr w:rsidR="005B16E6" w:rsidRPr="005B16E6" w:rsidTr="005B16E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Марка по </w:t>
            </w: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удобоукладываемости</w:t>
            </w:r>
            <w:proofErr w:type="spellEnd"/>
          </w:p>
        </w:tc>
        <w:tc>
          <w:tcPr>
            <w:tcW w:w="0" w:type="auto"/>
            <w:gridSpan w:val="3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Норма </w:t>
            </w: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удобоукладываемости</w:t>
            </w:r>
            <w:proofErr w:type="spellEnd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по показателю: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жесткости, 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подвижности, 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см</w:t>
            </w:r>
            <w:proofErr w:type="gramEnd"/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осадка конуса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расплыв</w:t>
            </w:r>
            <w:proofErr w:type="spellEnd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конуса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gridSpan w:val="4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Сверхжесткие смеси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12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СЖ3</w:t>
            </w:r>
          </w:p>
        </w:tc>
        <w:tc>
          <w:tcPr>
            <w:tcW w:w="12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Более 100</w:t>
            </w:r>
          </w:p>
        </w:tc>
        <w:tc>
          <w:tcPr>
            <w:tcW w:w="12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СЖ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51-100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СЖ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и менее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gridSpan w:val="4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Жесткие смеси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31-60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Ж3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21-30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11-20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gridSpan w:val="4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Подвижные смеси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и менее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26-30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 и более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 и более</w:t>
            </w:r>
          </w:p>
        </w:tc>
      </w:tr>
    </w:tbl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4.6.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Расслаиваемость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бетонной смеси для тяжелых и легких бетонов (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водоотделение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раствороотделение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не должна превышать значений, приведенных в таблице 2.</w:t>
      </w:r>
    </w:p>
    <w:p w:rsidR="005B16E6" w:rsidRPr="005B16E6" w:rsidRDefault="005B16E6" w:rsidP="005B16E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2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299"/>
        <w:gridCol w:w="2299"/>
        <w:gridCol w:w="2299"/>
      </w:tblGrid>
      <w:tr w:rsidR="005B16E6" w:rsidRPr="005B16E6" w:rsidTr="005B16E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Марка по </w:t>
            </w: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удобоукладываемости</w:t>
            </w:r>
            <w:proofErr w:type="spellEnd"/>
          </w:p>
        </w:tc>
        <w:tc>
          <w:tcPr>
            <w:tcW w:w="0" w:type="auto"/>
            <w:gridSpan w:val="3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Расслаиваемость</w:t>
            </w:r>
            <w:proofErr w:type="spellEnd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, %, не более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водоотделение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раствороотделение</w:t>
            </w:r>
            <w:proofErr w:type="spellEnd"/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тяжелых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легких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12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СЖ3-СЖ1</w:t>
            </w:r>
          </w:p>
        </w:tc>
        <w:tc>
          <w:tcPr>
            <w:tcW w:w="12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- 0,1</w:t>
            </w:r>
          </w:p>
        </w:tc>
        <w:tc>
          <w:tcPr>
            <w:tcW w:w="12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Ж4-Ж1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- 0,2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П1-П2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- 0,4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П3-П5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- 0,8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Бетонные смеси с лучшими показателями по сравнению с указанными в таблице готовят с высокодисперсными активными минеральными добавками (золы-уноса,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микрокремнезем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в сочетании с пластифицирующими химическими добавками.</w:t>
      </w:r>
      <w:proofErr w:type="gramEnd"/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4.7. При необходимости транспортирования на дальние расстояния устанавливают требования к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сохраняемости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свойств бетонных смесей во времени (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воздухововлечение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расслаиваемость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Сохраняемость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свойств бетонных смесей повышают применением химических пластифицирующих добавок, а также замедлителей сроков схватывания.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4.8. Бетонные смеси для бетонов, к которым предъявляют специальные требования по долговечности (высокая морозостойкость и водонепроницаемость), готовят с воздухововлекающими или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пластифицирующе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-воздухововлекающими химическими добавками в тех случаях, когда бетон без добавок заданного класса по прочности не удовлетворяет требованиям по долговечности.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4.9. Состав бетонной смеси подбирают по ГОСТ 27006.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4.10. Бетонные смеси приготавливают с использованием цементов, заполнителей и добавок по стандартам и техническим условиям на материалы конкретных видов в соответствии с ГОСТ 26633 и ГОСТ 25820.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Вода для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затворения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бетонных смесей и приготовления добавок по ГОСТ 23732.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Влажность составляющих компонентов для сухих бетонных смесей не должна превышать 0,1%.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Удельная эффективная активность естественных радионуклидов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</w:t>
      </w:r>
      <w:r w:rsidRPr="005B16E6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эфф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сырьевых материалов, применяемых для приготовления бетонных смесей, не должна превышать предельных значений в Бк/кг, в зависимости от области применения бетонных смесей (приложение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ГОСТ 30108).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4.11. Сыпучие исходные материалы для бетонной смеси дозируют по массе (кроме пористых заполнителей, которые дозируют по объему с коррекцией по массе).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Жидкие составляющие дозируют по массе или объему.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Погрешность дозирования исходных материалов весовыми дозаторами цикличного и непрерывного действия не должна превышать для цемента, воды, сухих химических добавок, рабочего раствора жидких химических добавок ±1%, заполнителей ±2%.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Погрешность дозирования пористых заполнителей не должна превышать ±2% по объему.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бетоносмесительных установок производительностью до 5 м³/ч допускается объемное дозирование сыпучих материалов с теми же погрешностями дозирования.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4.12. Бетонные смеси всех марок по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всех видов бетонов приготавливают в смесителях принудительного действия.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Бетонные смеси для тяжелого бетона марок П1—П5, Ж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для легкого бетона класса В12,5 и выше средней плотностью D1600 и выше, марок по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П1—П5 и Ж1 допускается приготавливать в гравитационных смесителях.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Сухие бетонные смеси приготавливают в смесителях принудительного действия.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4.13. Исходные материалы в работающий смеситель загружают, как правило, одновременно.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бетонную смесь для тяжелого бетона рабочий раствор химической добавки вводят вместе с водой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затворения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бетонную смесь для легкого бетона, приготавливаемую с жилкой химической добавкой, одновременно с цементом и заполнителями вводят 50—70% расчетного количества воды, перемешивают их в течение 30 с, затем вводят рабочий раствор добавки одновременно с оставшейся частью воды.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необходимости использования горячей воды или цемента, их температура не должна превышать 70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°С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а последовательность загрузки должна быть следующей: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при использовании горячей воды — заполнитель, горячая вода, цемент;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при использовании горячего цемента — мелкий заполнитель, цемент, крупный заполнитель, вода, химическая добавка.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 Продолжительность перемешивания в стационарном циклическом смесителе (время от момента окончания загрузки всех материалов в работающий смеситель до начала выгрузки готовой смеси) может быть принята для бетонной смеси на плотных заполнителях в соответствии с приложением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для бетонной смеси на пористых заполнителях — с приложением В или по технологическому регламенту.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4.15. Маркировка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4.15.1. Маркируют только сухие смеси.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тару для сухих смесей должны быть нанесены надписи: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условное обозначение бетонной смеси;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наименование или товарный знак изготовителя;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знак соответствия (в случае, когда бетонная смесь сертифицирована на соответствие требованиям стандарта);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— класс материалов, использованных для приготовления сухой смеси, по удельной эффективной активности естественных радионуклидов и цифровое значение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</w:t>
      </w:r>
      <w:r w:rsidRPr="005B16E6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эфф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класс (марка) бетона по прочности на сжатие, МПа (кгс/см²);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объем воды, необходимый для приготовления бетонной смеси, л;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вид и количество добавки, кг/л;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наибольшая крупность заполнителя, мм;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  — срок хранения, </w:t>
      </w:r>
      <w:proofErr w:type="spellStart"/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</w:t>
      </w:r>
      <w:proofErr w:type="spellEnd"/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масса, кг;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— дата изготовления.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4.15.2. Каждая партия бетонной смеси, отправленная потребителю, должна иметь документ о качестве согласно приложению Г.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согласованию изготовителя с потребителем допускается выдавать документ о качестве бетонной смеси одного вида не реже одного раза в месяц.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4.16. Упаковка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Сухие бетонные смеси упаковывают в пакеты из полиэтиленовой пленки по ГОСТ 10354 массой до 8 кг или бумажные мешки по ГОСТ 2226 массой до 40 кг.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Мешки с сухой смесью должны храниться в условиях, обеспечивающих сохранность упаковки и предохранение от увлажнения при температуре не ниже 5°С.</w:t>
      </w: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 ПРАВИЛА ПРИЕМКИ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Бетонные смеси должны быть приняты техническим контролем изготовителя.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Смеси принимают партиями. В состав партии включают бетонную смесь одного номинального состава, подобранную по ГОСТ 27006, приготовленную на одних материалах по единой технологии.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Объем партии устанавливают по ГОСТ 18105, но не 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более сменной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выработки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бетоносмесителя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5.2.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бетонной смеси для каждой партии определяют не реже одного раза в смену у изготовителя в течение 15 мин после выгрузки смеси из смесителя и у потребителя не позже чем через 20 мин после доставки смеси.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Прочность и среднюю плотность бетонной смеси определяют для каждой партии.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Морозостойкость, водонепроницаемость,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истираемость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другие нормируемые показатели качества бетона определяют в соответствии с требованиями стандартов и технических условий на конструкции, для которых предназначена бетонная смесь.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 Влажность заполнителей, пористость бетонных смесей с нормируемым объемом вовлеченного воздуха и температуру смеси (при необходимости) определяют не реже одного раза в смену, среднюю плотность смеси в уплотненном состоян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ии и ее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расслаиваемость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(при необходимости) — не реже одного раза в сутки, наибольшую крупность заполнителя — не реже одного раза в неделю.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 Радиационно-гигиеническую оценку материалов, применяемых для приготовления бетонных смесей, осуществляют по сертификату радиационного качества, выдаваемому предприятиями-поставщиками на эти материалы.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случае отсутствия данных о содержании естественных радионуклидов изготовитель один раз в год, а также при каждой смене поставщика, определяет удельную эффективную активность естественных радионуклидов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</w:t>
      </w:r>
      <w:r w:rsidRPr="005B16E6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эфф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 ГОСТ 30108.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5.5. Периодичность определения качества бетонной смеси и бетона по показателям, указанным в договоре потребителя и не 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указанных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5.2—5.4, устанавливают по согласованию изготовителя с потребителем.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5.6. Бетонные смеси на месте укладки принимают по объему. Объем бетонной смеси, установленный при погрузке, должен быть уменьшен на коэффициент уплотнения при ее транспортировании и уплотнении, устанавливаемый по согласованию изготовителя с потребителем. Рекомендуемые значения коэффициента уплотнения приведены в приложении Д.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5.7. Потребитель имеет право проводить контрольную проверку количества и качества бетонной смеси в соответствии с требованиями настоящего стандарта по методикам ГОСТ 10181.0 — ГОСТ 10181.4.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5.8. Результаты испытаний контрольных образцов бетона в проектном или другом требуемом возрасте изготовитель обязан сообщить потребителю по его требованию не позднее чем через 3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сут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после испытаний.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неподтверждении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нормируемого показателя качества бетона изготовитель обязан в день получения результатов испытаний сообщить об этом потребителю.</w:t>
      </w: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6. МЕТОДЫ КОНТРОЛЯ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6.1 Пробы бетонной смеси отбирают в соответствии с требованиями ГОСТ 10181.0, ГОСТ 10180 и ГОСТ 18105.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6.2. Материалы для приготовления бетонных смесей испытывают в соответствии с требованиями стандартов и технических условий на эти материалы.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Концентрацию рабочего раствора добавок определяют ареометром в соответствии с требованиями стандартов и технических условий на добавки конкретных видов.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Удельную эффективную активность естественных радионуклидов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Аэфф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материалах для приготовления бетонных смесей определяют по ГОСТ 30108.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6.3.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бетонной смеси (подвижные смеси определяют по осадке конуса или по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расплыву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конуса, жесткие — по прибору Вебе, сверхжесткие — по прибору Вебе-Н с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пригрузом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), показатели пористости и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расслаиваемости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определяют по ГОСТ 10181.0 - ГОСТ 10181.4.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Сохраняемость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свойств (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средняя плотность, объем вовлеченного воздуха) определяют по ГОСТ 10181.1 — ГОСТ 10181.3 через определенные промежутки времени в течение периода, установленного договором с заказчиком.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6.4. Температуру транспортируемой бетонной смеси измеряют термометром, погружая его в смесь на глубину не менее 5 см.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6.5. Прочность бетона определяют по ГОСТ 10180, ГОСТ 17624 и ГОСТ 22690, прочность бетона кернов — по ГОСТ 28570, а контролируют по ГОСТ 18105; среднюю плотность тяжелого бетона определяют по ГОСТ 12730.1 или ГОСТ 17623, а легкого бетона — по ГОСТ 27005; морозостойкость определяют по ГОСТ 10060, водонепроницаемость — по ГОСТ 12730.5.</w:t>
      </w: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7. ТРАНСПОРТИРОВАНИЕ И ХРАНЕНИЕ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7.1. Готовые бетонные смеси доставляют потребителю транспортом специализированных видов, предназначенным для доставки смеси.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согласованию изготовителя с потребителем допускается доставлять бетонные смеси автосамосвалами.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Сухие смеси доставляют в мешках, пакетах транспортом всех видов.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7.2. Применяемые способы транспортирования бетонных смесей должны исключать возможность попадания в них атмосферных осадков, нарушения однородности, потери цементного раствора, а также обеспечивать предохранение смеси в пути от воздействия ветра и солнечных лучей.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Максимально допустимая продолжительность транспортирования бетонной смеси, готовой к употреблению, при условии сохранения своих свойств, приведена в приложении Е.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7.3. Срок хранения сухой бетонной смеси — 6 </w:t>
      </w:r>
      <w:proofErr w:type="spellStart"/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</w:t>
      </w:r>
      <w:proofErr w:type="spellEnd"/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 дня приготовления.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истечению срока хранения смесь должна быть проверена на соответствие требованиям настоящего стандарта. В случае соответствия смесь может быть использована по назначению.</w:t>
      </w:r>
    </w:p>
    <w:p w:rsidR="005B16E6" w:rsidRPr="005B16E6" w:rsidRDefault="005B16E6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А</w:t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(обязательное)</w:t>
      </w: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ИСПОЛЬЗУЕМЫЕ СТАНДАРТЫ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2226—88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Мешки бумажные. Технические условия.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10060—87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Бетоны. Методы контроля морозостойкости.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10180—90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Бетоны. Методы определения прочности по контрольным образцам.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10181.0—81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Смеси бетонные. Общие требования к методам испытаний.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10181.1—81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Смеси бетонные. Методы определения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10181.2—81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Смеси бетонные. Методы определения плотности.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10181.3—81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Смеси бетонные. Методы определения пористости.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10181.4—81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Смеси бетонные. Методы определения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расслаиваемости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10354—82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Пленка полиэтиленовая. Технические условия.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12730.1—78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Бетоны. Метод определения плотности.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12730.5—84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Бетоны. Методы определения водонепроницаемости.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17623—87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Бетоны. Радиоизотопный метод определения средней плотности.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17624—87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Бетоны. Ультразвуковой метод определения прочности.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18105—86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Бетоны. Правила контроля прочности.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22690—88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Бетоны. Определение прочности механическими методами неразрушающего контроля.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23732—79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Вода для бетонов и растворов. Технические условия.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25820—83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 легкие. Технические условия.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26633—91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 тяжелые и мелкозернистые. Технические условия.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27005—86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 легкие и ячеистые. Правила контроля средней плотности.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27006—86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Бетоны. Правила подбора состава.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28570—90</w:t>
      </w:r>
      <w:r w:rsidR="00CB73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тоны. Методы определения прочности по образцам, отобранным из конструкций.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30108—94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Материалы и изделия строительные. Определение удельной эффективной активности естественных радионуклидов.</w:t>
      </w:r>
    </w:p>
    <w:p w:rsidR="005B16E6" w:rsidRPr="005B16E6" w:rsidRDefault="005B16E6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Б</w:t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(рекомендуемое)</w:t>
      </w: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РЕКОМЕНДУЕМАЯ ПРОДОЛЖИТЕЛЬНОСТЬ ПЕРЕМЕШИВАНИЯ БЕТОННЫХ СМЕСЕЙ НА ПЛОТНЫХ ЗАПОЛНИТЕЛЯХ В СТАЦИОНАРНЫХ СМЕСИТЕЛЯХ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2169"/>
      </w:tblGrid>
      <w:tr w:rsidR="005B16E6" w:rsidRPr="005B16E6" w:rsidTr="005B16E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Вместимость смесителя по загрузке, 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Продолжительность перемешивания, 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, не менее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в гравитационных смесителях для смесей марок по </w:t>
            </w: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удобоукладываемости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в смесителях принудительного действия для смесей всех марок по </w:t>
            </w: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удобоукладываемости</w:t>
            </w:r>
            <w:proofErr w:type="spellEnd"/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Ж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, П1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П3-П5</w:t>
            </w: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16E6" w:rsidRPr="005B16E6" w:rsidTr="005B16E6">
        <w:trPr>
          <w:tblCellSpacing w:w="0" w:type="dxa"/>
        </w:trPr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750 и менее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Св. 750 до 1500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Св. 1500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</w:tr>
    </w:tbl>
    <w:p w:rsidR="005B16E6" w:rsidRPr="005B16E6" w:rsidRDefault="005B16E6" w:rsidP="005B16E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Примечание — Продолжительность перемешивания в гравитационных смесителях для легких бетонов, соответствующих 4.12, принимают по указанной таблице.</w:t>
      </w:r>
    </w:p>
    <w:p w:rsidR="005B16E6" w:rsidRPr="005B16E6" w:rsidRDefault="005B16E6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ПРИЛОЖЕНИЕ </w:t>
      </w:r>
      <w:proofErr w:type="gramStart"/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(рекомендуемое)</w:t>
      </w: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РЕКОМЕНДУЕМАЯ ПРОДОЛЖИТЕЛЬНОСТЬ ПЕРЕМЕШИВАНИЯ БЕТОННЫХ СМЕСЕЙ НА ПОРИСТЫХ ЗАПОЛНИТЕЛЯХ В СМЕСИТЕЛЯХ ПРИНУДИТЕЛЬНОГО ДЕЙСТВИЯ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40"/>
        <w:gridCol w:w="1839"/>
        <w:gridCol w:w="1839"/>
        <w:gridCol w:w="1839"/>
      </w:tblGrid>
      <w:tr w:rsidR="005B16E6" w:rsidRPr="005B16E6" w:rsidTr="005B16E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Объем готового замеса бетонной смеси, 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Продолжительность перемешивания, 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</w:t>
            </w:r>
            <w:proofErr w:type="gramEnd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средней плотности бетона, кг/м³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1600 и более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1400-1600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1000-1400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1000 и менее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750 и менее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Св. 750 до 1500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Св. 1500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</w:t>
            </w:r>
          </w:p>
        </w:tc>
      </w:tr>
    </w:tbl>
    <w:p w:rsidR="005B16E6" w:rsidRPr="005B16E6" w:rsidRDefault="005B16E6" w:rsidP="005B16E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Примечание — Значения продолжительности перемешивания приведены для смесей на пористых заполнителях марки П</w:t>
      </w:r>
      <w:proofErr w:type="gramStart"/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</w:t>
      </w:r>
      <w:proofErr w:type="gramEnd"/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Для смесей марок П</w:t>
      </w:r>
      <w:proofErr w:type="gramStart"/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2</w:t>
      </w:r>
      <w:proofErr w:type="gramEnd"/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П3, П4 и П5 продолжительность перемешивания уменьшают на 15, 30, 45 и 50 с соответственно.</w:t>
      </w:r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Для смесей марок Ж</w:t>
      </w:r>
      <w:proofErr w:type="gramStart"/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</w:t>
      </w:r>
      <w:proofErr w:type="gramEnd"/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Ж2, Ж3 и Ж4 продолжительность перемешивания увеличивают на 15, 30, 45 и 60 с соответственно.</w:t>
      </w:r>
    </w:p>
    <w:p w:rsidR="00CB7393" w:rsidRDefault="00CB7393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CB7393" w:rsidRDefault="00CB7393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5B16E6" w:rsidRPr="005B16E6" w:rsidRDefault="005B16E6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Г</w:t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(обязательное)</w:t>
      </w: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ДОКУМЕНТ О КАЧЕСТВЕ БЕТОННОЙ СМЕСИ №______</w:t>
      </w:r>
    </w:p>
    <w:p w:rsidR="005B16E6" w:rsidRPr="005B16E6" w:rsidRDefault="005B16E6" w:rsidP="005B16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Наименование организации-изготовителя______________________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Адрес, телефон, факс изготовителя_________________________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Потребитель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Вид бетонной смеси и ее условное обозначение______________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Удобоукладываемость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бетонной смеси на заводе-изготовителе и у места укладки, см (с)_____________________________________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Номер состава бетонной смеси______________________________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Знак соответствия (в случае, когда бетонная смесь сертифицирована на соответствие требованиям стандарта)________________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Дата и время отправки бетонной смеси______________________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Класс (марка) бетона по прочности на сжатие в возрасте____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Другие показатели качества (при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необходимости)____________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Коэффициент вариации прочности бетона, %__________________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Требуемая прочность бетона, МПа (кгс/см²)________________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Проектная марка по средней плотности (для легкого бетона), кг/м³___________________________________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Коэффициент вариации средней плотности, %_________________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Наименование, масса (объем) добавки, кг (л)_______________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Класс материалов по удельной эффективной активности естественных радионуклидов и цифровое значение </w:t>
      </w:r>
      <w:proofErr w:type="spellStart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</w:t>
      </w:r>
      <w:r w:rsidRPr="005B16E6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эфф</w:t>
      </w:r>
      <w:proofErr w:type="spell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Бк/кг______________________________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Наибольшая крупность заполнителя, мм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Выдан "_____"___________________199___г.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Начальник цеха (мастер)_____________________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Ф.И.О.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Начальник лаборатории</w:t>
      </w:r>
      <w:proofErr w:type="gramEnd"/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 </w:t>
      </w:r>
      <w:r w:rsidRPr="005B16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Ф.И.О.</w:t>
      </w:r>
    </w:p>
    <w:p w:rsidR="00CB7393" w:rsidRDefault="00CB7393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5B16E6" w:rsidRPr="005B16E6" w:rsidRDefault="005B16E6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Д</w:t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(справочное)</w:t>
      </w: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РЕКОМЕНДУЕМЫЕ УСРЕДНЕННЫЕ ЗНАЧЕНИЯ КОЭФФИЦИЕНТОВ УПЛОТНЕНИЯ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379"/>
        <w:gridCol w:w="1380"/>
        <w:gridCol w:w="1380"/>
        <w:gridCol w:w="1380"/>
      </w:tblGrid>
      <w:tr w:rsidR="005B16E6" w:rsidRPr="005B16E6" w:rsidTr="005B16E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Вид смеси</w:t>
            </w:r>
          </w:p>
        </w:tc>
        <w:tc>
          <w:tcPr>
            <w:tcW w:w="0" w:type="auto"/>
            <w:gridSpan w:val="4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Марка смеси по </w:t>
            </w: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удобоукладываемости</w:t>
            </w:r>
            <w:proofErr w:type="spellEnd"/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СЖ3-СЖ1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Ж4-Ж2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Ж1-П2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П3-П5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2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тяжелых бетонов с крупным заполнителем</w:t>
            </w:r>
          </w:p>
        </w:tc>
        <w:tc>
          <w:tcPr>
            <w:tcW w:w="7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0,92-0,93</w:t>
            </w:r>
          </w:p>
        </w:tc>
        <w:tc>
          <w:tcPr>
            <w:tcW w:w="750" w:type="pct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0,95-0,96</w:t>
            </w:r>
          </w:p>
        </w:tc>
        <w:tc>
          <w:tcPr>
            <w:tcW w:w="7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0,96-0,97</w:t>
            </w:r>
          </w:p>
        </w:tc>
        <w:tc>
          <w:tcPr>
            <w:tcW w:w="75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0,97-0,98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мелкозернистых бетонов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0,93-0,94</w:t>
            </w: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0,97-0,98</w:t>
            </w:r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0,98-0,99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легких конструкционных бетонов</w:t>
            </w:r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0,94-0,96</w:t>
            </w: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легких конструкционно-теплоизоляционных бетонов</w:t>
            </w: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0,96-0,97</w:t>
            </w: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B16E6" w:rsidRPr="005B16E6" w:rsidRDefault="005B16E6" w:rsidP="005B16E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Примечание — Рекомендуемые усредненные значения коэффициентов уплотнения могут быть проверены по методике, согласованной потребителем с изготовителем бетонной смеси</w:t>
      </w:r>
    </w:p>
    <w:p w:rsidR="00CB7393" w:rsidRDefault="00CB7393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CB7393" w:rsidRDefault="00CB7393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5B16E6" w:rsidRPr="005B16E6" w:rsidRDefault="005B16E6" w:rsidP="005B16E6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Е</w:t>
      </w:r>
      <w:r w:rsidRPr="005B16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(рекомендуемое)</w:t>
      </w:r>
    </w:p>
    <w:p w:rsidR="00CB7393" w:rsidRDefault="00CB7393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B16E6" w:rsidRPr="005B16E6" w:rsidRDefault="005B16E6" w:rsidP="005B16E6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МАКСИМАЛЬНО ДОПУСТИМАЯ ПРОДОЛЖИТЕЛЬНОСТЬ ТРАНСПОРТИРОВАНИЯ БЕТОННЫХ СМЕСЕЙ, ГОТОВЫХ К УПОТРЕБЛЕНИЮ, ПРИ ТЕМПЕРАТУРЕ ВОЗДУХА ОТ 20 ДО 30</w:t>
      </w:r>
      <w:proofErr w:type="gramStart"/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°С</w:t>
      </w:r>
      <w:proofErr w:type="gramEnd"/>
      <w:r w:rsidRPr="005B16E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(ПРИ ТЕМПЕРАТУРЕ СМЕСИ 18-20°С)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804"/>
        <w:gridCol w:w="1827"/>
        <w:gridCol w:w="2078"/>
        <w:gridCol w:w="1494"/>
      </w:tblGrid>
      <w:tr w:rsidR="005B16E6" w:rsidRPr="005B16E6" w:rsidTr="005B16E6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Марка смеси по </w:t>
            </w: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удобоукладываемости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Вид дорожного покрытия</w:t>
            </w:r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Средняя скорость транспортирования, </w:t>
            </w:r>
            <w:proofErr w:type="gram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км</w:t>
            </w:r>
            <w:proofErr w:type="gramEnd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Продолжительность транспортирования, мин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автобетоносмесителем</w:t>
            </w:r>
            <w:proofErr w:type="spellEnd"/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автосамосвалом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Ж2-Ж1</w:t>
            </w:r>
          </w:p>
        </w:tc>
        <w:tc>
          <w:tcPr>
            <w:tcW w:w="1000" w:type="pct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Жесткое (</w:t>
            </w:r>
            <w:proofErr w:type="spell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асфальтоцементное</w:t>
            </w:r>
            <w:proofErr w:type="spellEnd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асфальтобетонное, бетонное)</w:t>
            </w:r>
          </w:p>
        </w:tc>
        <w:tc>
          <w:tcPr>
            <w:tcW w:w="1000" w:type="pct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П3-П5</w:t>
            </w: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Ж2-Ж1</w:t>
            </w:r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Мягкое (грунтовое)</w:t>
            </w:r>
          </w:p>
        </w:tc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5B16E6" w:rsidRPr="005B16E6" w:rsidTr="005B16E6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П3-П5</w:t>
            </w: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5B16E6" w:rsidRPr="005B16E6" w:rsidRDefault="005B16E6" w:rsidP="005B16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5B16E6" w:rsidRPr="005B16E6" w:rsidRDefault="005B16E6" w:rsidP="005B16E6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6E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рекомендуется</w:t>
            </w:r>
          </w:p>
        </w:tc>
      </w:tr>
    </w:tbl>
    <w:p w:rsidR="0028673B" w:rsidRDefault="0028673B"/>
    <w:sectPr w:rsidR="0028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05"/>
    <w:rsid w:val="0028673B"/>
    <w:rsid w:val="00516405"/>
    <w:rsid w:val="005B16E6"/>
    <w:rsid w:val="00C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2967</Words>
  <Characters>16916</Characters>
  <Application>Microsoft Office Word</Application>
  <DocSecurity>0</DocSecurity>
  <Lines>140</Lines>
  <Paragraphs>39</Paragraphs>
  <ScaleCrop>false</ScaleCrop>
  <Company>Krokoz™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2014-04-01T05:21:00Z</dcterms:created>
  <dcterms:modified xsi:type="dcterms:W3CDTF">2014-04-01T05:25:00Z</dcterms:modified>
</cp:coreProperties>
</file>